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A69" w:rsidRPr="00884713" w:rsidRDefault="00CC351F" w:rsidP="00884713">
      <w:pPr>
        <w:jc w:val="center"/>
        <w:rPr>
          <w:rFonts w:ascii="方正小标宋简体" w:eastAsia="方正小标宋简体" w:hint="eastAsia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四川省中小学线上学习指导手册（试用）</w:t>
      </w:r>
    </w:p>
    <w:p w:rsidR="00F61A69" w:rsidRPr="00884713" w:rsidRDefault="00CC351F" w:rsidP="00884713">
      <w:pPr>
        <w:pStyle w:val="ad"/>
        <w:spacing w:line="520" w:lineRule="exact"/>
        <w:ind w:firstLine="560"/>
        <w:rPr>
          <w:rFonts w:ascii="仿宋_GB2312" w:eastAsia="仿宋_GB2312" w:hAnsi="Arial" w:cs="Arial"/>
          <w:spacing w:val="8"/>
          <w:kern w:val="0"/>
          <w:sz w:val="28"/>
          <w:szCs w:val="28"/>
          <w:shd w:val="clear" w:color="auto" w:fill="FFFFFF"/>
        </w:rPr>
      </w:pPr>
      <w:r w:rsidRPr="00884713">
        <w:rPr>
          <w:rFonts w:ascii="仿宋_GB2312" w:eastAsia="仿宋_GB2312" w:hint="eastAsia"/>
          <w:sz w:val="28"/>
          <w:szCs w:val="28"/>
        </w:rPr>
        <w:t>四川省中</w:t>
      </w:r>
      <w:r w:rsidRPr="00884713">
        <w:rPr>
          <w:rFonts w:ascii="仿宋_GB2312" w:eastAsia="仿宋_GB2312" w:hAnsi="Arial" w:cs="Arial" w:hint="eastAsia"/>
          <w:spacing w:val="8"/>
          <w:kern w:val="0"/>
          <w:sz w:val="28"/>
          <w:szCs w:val="28"/>
          <w:shd w:val="clear" w:color="auto" w:fill="FFFFFF"/>
        </w:rPr>
        <w:t>小学“停课不停教、停课不停学”线上教学，</w:t>
      </w:r>
      <w:r w:rsidRPr="00884713">
        <w:rPr>
          <w:rFonts w:ascii="仿宋_GB2312" w:eastAsia="仿宋_GB2312" w:hAnsi="宋体" w:cs="仿宋_GB2312" w:hint="eastAsia"/>
          <w:sz w:val="28"/>
          <w:szCs w:val="28"/>
        </w:rPr>
        <w:t>依托四川省教育资源公共服务平台，通过有线电视、网络电视、网络平台三种方式推送播出教学资源，为全省中小学校和师生在线教学提供保障。提倡学生使用电视开展线上学习。</w:t>
      </w:r>
    </w:p>
    <w:p w:rsidR="00F61A69" w:rsidRPr="00884713" w:rsidRDefault="00CC351F" w:rsidP="00884713">
      <w:pPr>
        <w:pStyle w:val="ad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884713">
        <w:rPr>
          <w:rFonts w:ascii="仿宋_GB2312" w:eastAsia="仿宋_GB2312" w:hAnsi="仿宋" w:hint="eastAsia"/>
          <w:sz w:val="28"/>
          <w:szCs w:val="28"/>
        </w:rPr>
        <w:t>四川省教育资源公共服务平台（网址www.scedu.com.cn）是教育厅组织实施全省中小学在线教学活动官方平台。延期开学期间，平台推出“停课不停教、停课不停学”数字教育资源专区（以下简称“专区”），承担在线教学有关信息发布、学案公布、教学资源汇聚推送等工作，同时平台向广电、电信、移动</w:t>
      </w:r>
      <w:r w:rsidR="000235FE" w:rsidRPr="00884713">
        <w:rPr>
          <w:rFonts w:ascii="仿宋_GB2312" w:eastAsia="仿宋_GB2312" w:hAnsi="仿宋" w:hint="eastAsia"/>
          <w:sz w:val="28"/>
          <w:szCs w:val="28"/>
        </w:rPr>
        <w:t>、联通</w:t>
      </w:r>
      <w:r w:rsidRPr="00884713">
        <w:rPr>
          <w:rFonts w:ascii="仿宋_GB2312" w:eastAsia="仿宋_GB2312" w:hAnsi="仿宋" w:hint="eastAsia"/>
          <w:sz w:val="28"/>
          <w:szCs w:val="28"/>
        </w:rPr>
        <w:t>等第三方平台提供在线课程资源，由合作平台共同为全省师生提供课程收看、点播等服务。</w:t>
      </w:r>
    </w:p>
    <w:p w:rsidR="00F61A69" w:rsidRPr="00884713" w:rsidRDefault="00CC351F" w:rsidP="0088471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884713">
        <w:rPr>
          <w:rFonts w:ascii="仿宋_GB2312" w:eastAsia="仿宋_GB2312" w:hAnsi="仿宋" w:hint="eastAsia"/>
          <w:sz w:val="28"/>
          <w:szCs w:val="28"/>
        </w:rPr>
        <w:t>本手册主要用于义务教育阶段1-8年级，高中1-2年级教师、家长、学生了解在线教学的观课途径、互动方式、课程资源获取、课前准备、终端操作方法与服务方式等。9年级和高3</w:t>
      </w:r>
      <w:r w:rsidR="0040502F" w:rsidRPr="00884713">
        <w:rPr>
          <w:rFonts w:ascii="仿宋_GB2312" w:eastAsia="仿宋_GB2312" w:hAnsi="仿宋" w:hint="eastAsia"/>
          <w:sz w:val="28"/>
          <w:szCs w:val="28"/>
        </w:rPr>
        <w:t>年级可通过省广电</w:t>
      </w:r>
      <w:r w:rsidRPr="00884713">
        <w:rPr>
          <w:rFonts w:ascii="仿宋_GB2312" w:eastAsia="仿宋_GB2312" w:hAnsi="仿宋" w:hint="eastAsia"/>
          <w:sz w:val="28"/>
          <w:szCs w:val="28"/>
        </w:rPr>
        <w:t>有线电视</w:t>
      </w:r>
      <w:r w:rsidR="00595A9E" w:rsidRPr="00884713">
        <w:rPr>
          <w:rFonts w:ascii="仿宋_GB2312" w:eastAsia="仿宋_GB2312" w:hAnsi="仿宋" w:hint="eastAsia"/>
          <w:sz w:val="28"/>
          <w:szCs w:val="28"/>
        </w:rPr>
        <w:t>直播</w:t>
      </w:r>
      <w:r w:rsidR="0040502F" w:rsidRPr="00884713">
        <w:rPr>
          <w:rFonts w:ascii="仿宋_GB2312" w:eastAsia="仿宋_GB2312" w:hAnsi="仿宋" w:hint="eastAsia"/>
          <w:sz w:val="28"/>
          <w:szCs w:val="28"/>
        </w:rPr>
        <w:t>频道</w:t>
      </w:r>
      <w:r w:rsidR="00DF2BA4" w:rsidRPr="00884713">
        <w:rPr>
          <w:rFonts w:ascii="仿宋_GB2312" w:eastAsia="仿宋_GB2312" w:hAnsi="仿宋" w:hint="eastAsia"/>
          <w:sz w:val="28"/>
          <w:szCs w:val="28"/>
        </w:rPr>
        <w:t>收看</w:t>
      </w:r>
      <w:r w:rsidRPr="00884713">
        <w:rPr>
          <w:rFonts w:ascii="仿宋_GB2312" w:eastAsia="仿宋_GB2312" w:hAnsi="仿宋" w:hint="eastAsia"/>
          <w:sz w:val="28"/>
          <w:szCs w:val="28"/>
        </w:rPr>
        <w:t>成都</w:t>
      </w:r>
      <w:r w:rsidR="00595A9E" w:rsidRPr="00884713">
        <w:rPr>
          <w:rFonts w:ascii="仿宋_GB2312" w:eastAsia="仿宋_GB2312" w:hAnsi="仿宋" w:hint="eastAsia"/>
          <w:sz w:val="28"/>
          <w:szCs w:val="28"/>
        </w:rPr>
        <w:t>市教科院打造的成都数字学校</w:t>
      </w:r>
      <w:r w:rsidR="00DF2BA4" w:rsidRPr="00884713">
        <w:rPr>
          <w:rFonts w:ascii="仿宋_GB2312" w:eastAsia="仿宋_GB2312" w:hAnsi="仿宋" w:hint="eastAsia"/>
          <w:sz w:val="28"/>
          <w:szCs w:val="28"/>
        </w:rPr>
        <w:t>课程</w:t>
      </w:r>
      <w:r w:rsidR="00364CA2" w:rsidRPr="00884713">
        <w:rPr>
          <w:rFonts w:ascii="仿宋_GB2312" w:eastAsia="仿宋_GB2312" w:hAnsi="仿宋" w:hint="eastAsia"/>
          <w:sz w:val="28"/>
          <w:szCs w:val="28"/>
        </w:rPr>
        <w:t>，也可以通过</w:t>
      </w:r>
      <w:r w:rsidR="00364CA2" w:rsidRPr="00884713">
        <w:rPr>
          <w:rFonts w:ascii="仿宋" w:eastAsia="仿宋" w:hAnsi="仿宋" w:cs="仿宋" w:hint="eastAsia"/>
          <w:sz w:val="28"/>
          <w:szCs w:val="28"/>
        </w:rPr>
        <w:t>四川电信、四川移动、四川广电</w:t>
      </w:r>
      <w:r w:rsidR="00E73D00" w:rsidRPr="00884713">
        <w:rPr>
          <w:rFonts w:ascii="仿宋" w:eastAsia="仿宋" w:hAnsi="仿宋" w:cs="仿宋" w:hint="eastAsia"/>
          <w:sz w:val="28"/>
          <w:szCs w:val="28"/>
        </w:rPr>
        <w:t>、四川联通</w:t>
      </w:r>
      <w:r w:rsidR="00364CA2" w:rsidRPr="00884713">
        <w:rPr>
          <w:rFonts w:ascii="仿宋" w:eastAsia="仿宋" w:hAnsi="仿宋" w:cs="仿宋" w:hint="eastAsia"/>
          <w:sz w:val="28"/>
          <w:szCs w:val="28"/>
        </w:rPr>
        <w:t>网络电视（IPTV）相应专区和省资源平台专区点播、</w:t>
      </w:r>
      <w:r w:rsidR="00364CA2" w:rsidRPr="00884713">
        <w:rPr>
          <w:rFonts w:ascii="仿宋" w:eastAsia="仿宋" w:hAnsi="仿宋" w:cs="仿宋" w:hint="eastAsia"/>
          <w:color w:val="000000"/>
          <w:sz w:val="28"/>
          <w:szCs w:val="28"/>
        </w:rPr>
        <w:t>回看数字学校课程</w:t>
      </w:r>
      <w:r w:rsidRPr="00884713">
        <w:rPr>
          <w:rFonts w:ascii="仿宋_GB2312" w:eastAsia="仿宋_GB2312" w:hAnsi="仿宋" w:hint="eastAsia"/>
          <w:sz w:val="28"/>
          <w:szCs w:val="28"/>
        </w:rPr>
        <w:t>。各地、校可结合“一县一策、一校一案、分班实施，学生自主”要求，指导学生选用适合的方式开展线上教学。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84713">
        <w:rPr>
          <w:rFonts w:ascii="黑体" w:eastAsia="黑体" w:hAnsi="黑体" w:hint="eastAsia"/>
          <w:sz w:val="28"/>
          <w:szCs w:val="28"/>
        </w:rPr>
        <w:t>一、电子教材获取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4713">
        <w:rPr>
          <w:rFonts w:ascii="仿宋_GB2312" w:eastAsia="仿宋_GB2312" w:hAnsi="仿宋" w:hint="eastAsia"/>
          <w:sz w:val="28"/>
          <w:szCs w:val="28"/>
        </w:rPr>
        <w:t>四川省中小学教材（电子版）获取方式主要有以下两种途径：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4713">
        <w:rPr>
          <w:rFonts w:ascii="仿宋_GB2312" w:eastAsia="仿宋_GB2312" w:hAnsi="仿宋" w:hint="eastAsia"/>
          <w:sz w:val="28"/>
          <w:szCs w:val="28"/>
        </w:rPr>
        <w:t>1.通过四川省教育资源公共服务平台专区“数字教材”版块下载，网址</w:t>
      </w:r>
      <w:r w:rsidRPr="00884713">
        <w:rPr>
          <w:rFonts w:ascii="仿宋_GB2312" w:eastAsia="仿宋_GB2312" w:hAnsi="仿宋"/>
          <w:sz w:val="28"/>
          <w:szCs w:val="28"/>
        </w:rPr>
        <w:t>http://tkbtx.scedu.com.cn/</w:t>
      </w:r>
      <w:r w:rsidRPr="00884713">
        <w:rPr>
          <w:rFonts w:ascii="仿宋_GB2312" w:eastAsia="仿宋_GB2312" w:hAnsi="仿宋" w:hint="eastAsia"/>
          <w:sz w:val="28"/>
          <w:szCs w:val="28"/>
        </w:rPr>
        <w:t>。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4713">
        <w:rPr>
          <w:rFonts w:ascii="仿宋_GB2312" w:eastAsia="仿宋_GB2312" w:hAnsi="仿宋" w:hint="eastAsia"/>
          <w:sz w:val="28"/>
          <w:szCs w:val="28"/>
        </w:rPr>
        <w:t>2.通过国家中小学网络云平台电子教材专区下载，网址</w:t>
      </w:r>
      <w:r w:rsidRPr="00884713">
        <w:rPr>
          <w:rFonts w:ascii="仿宋_GB2312" w:eastAsia="仿宋_GB2312" w:hAnsi="仿宋"/>
          <w:sz w:val="28"/>
          <w:szCs w:val="28"/>
        </w:rPr>
        <w:t>http://ebook.eduyun.cn/yktdzjc/index.html</w:t>
      </w:r>
      <w:r w:rsidRPr="00884713">
        <w:rPr>
          <w:rFonts w:ascii="仿宋_GB2312" w:eastAsia="仿宋_GB2312" w:hAnsi="仿宋" w:hint="eastAsia"/>
          <w:sz w:val="28"/>
          <w:szCs w:val="28"/>
        </w:rPr>
        <w:t>。</w:t>
      </w:r>
    </w:p>
    <w:p w:rsidR="00884713" w:rsidRDefault="00884713" w:rsidP="00884713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F61A69" w:rsidRPr="00884713" w:rsidRDefault="00CC351F" w:rsidP="00884713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84713">
        <w:rPr>
          <w:rFonts w:ascii="黑体" w:eastAsia="黑体" w:hAnsi="黑体" w:hint="eastAsia"/>
          <w:sz w:val="28"/>
          <w:szCs w:val="28"/>
        </w:rPr>
        <w:lastRenderedPageBreak/>
        <w:t>二、师生观课方式</w:t>
      </w:r>
    </w:p>
    <w:p w:rsidR="00F61A69" w:rsidRPr="00884713" w:rsidRDefault="00CC351F" w:rsidP="00884713">
      <w:pPr>
        <w:widowControl/>
        <w:spacing w:line="520" w:lineRule="exac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884713">
        <w:rPr>
          <w:rFonts w:ascii="楷体_GB2312" w:eastAsia="楷体_GB2312" w:hAnsi="仿宋" w:hint="eastAsia"/>
          <w:b/>
          <w:sz w:val="28"/>
          <w:szCs w:val="28"/>
        </w:rPr>
        <w:t>方式一：</w:t>
      </w:r>
      <w:r w:rsidR="00B663CC" w:rsidRPr="00884713">
        <w:rPr>
          <w:rFonts w:ascii="楷体_GB2312" w:eastAsia="楷体_GB2312" w:hAnsi="仿宋" w:hint="eastAsia"/>
          <w:b/>
          <w:sz w:val="28"/>
          <w:szCs w:val="28"/>
        </w:rPr>
        <w:t>收看</w:t>
      </w:r>
      <w:r w:rsidRPr="00884713">
        <w:rPr>
          <w:rFonts w:ascii="楷体_GB2312" w:eastAsia="楷体_GB2312" w:hAnsi="仿宋" w:hint="eastAsia"/>
          <w:b/>
          <w:sz w:val="28"/>
          <w:szCs w:val="28"/>
        </w:rPr>
        <w:t>有线电视</w:t>
      </w:r>
    </w:p>
    <w:p w:rsidR="00F61A69" w:rsidRPr="00884713" w:rsidRDefault="0020766F" w:rsidP="00884713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4713">
        <w:rPr>
          <w:rFonts w:ascii="仿宋_GB2312" w:eastAsia="仿宋_GB2312" w:hAnsi="仿宋" w:hint="eastAsia"/>
          <w:sz w:val="28"/>
          <w:szCs w:val="28"/>
        </w:rPr>
        <w:t>已安装四川广电网络有线数字电视的师生可以通过电视收看。在</w:t>
      </w:r>
      <w:r w:rsidR="00CC351F" w:rsidRPr="00884713">
        <w:rPr>
          <w:rFonts w:ascii="仿宋_GB2312" w:eastAsia="仿宋_GB2312" w:hAnsi="仿宋" w:hint="eastAsia"/>
          <w:sz w:val="28"/>
          <w:szCs w:val="28"/>
        </w:rPr>
        <w:t>广电网络有线</w:t>
      </w:r>
      <w:r w:rsidRPr="00884713">
        <w:rPr>
          <w:rFonts w:ascii="仿宋_GB2312" w:eastAsia="仿宋_GB2312" w:hAnsi="仿宋" w:hint="eastAsia"/>
          <w:sz w:val="28"/>
          <w:szCs w:val="28"/>
        </w:rPr>
        <w:t>电视指定“四川云教电视课堂”专用频道</w:t>
      </w:r>
      <w:r w:rsidR="00CC351F" w:rsidRPr="00884713">
        <w:rPr>
          <w:rFonts w:ascii="仿宋_GB2312" w:eastAsia="仿宋_GB2312" w:hAnsi="仿宋" w:hint="eastAsia"/>
          <w:sz w:val="28"/>
          <w:szCs w:val="28"/>
        </w:rPr>
        <w:t>中选择对应的年级频道观看首播；首播结束后可以进入点播/回看专区回看内容，也可以在首播时进行时移回看。</w:t>
      </w:r>
      <w:r w:rsidR="001316B5" w:rsidRPr="00884713">
        <w:rPr>
          <w:rFonts w:ascii="仿宋_GB2312" w:eastAsia="仿宋_GB2312" w:hAnsi="仿宋" w:hint="eastAsia"/>
          <w:sz w:val="28"/>
          <w:szCs w:val="28"/>
        </w:rPr>
        <w:t>频道列表如下：</w:t>
      </w:r>
    </w:p>
    <w:tbl>
      <w:tblPr>
        <w:tblStyle w:val="aa"/>
        <w:tblW w:w="7339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335"/>
        <w:gridCol w:w="1305"/>
        <w:gridCol w:w="1156"/>
      </w:tblGrid>
      <w:tr w:rsidR="00626EAB" w:rsidTr="006D39C6">
        <w:trPr>
          <w:trHeight w:val="318"/>
          <w:jc w:val="center"/>
        </w:trPr>
        <w:tc>
          <w:tcPr>
            <w:tcW w:w="3543" w:type="dxa"/>
          </w:tcPr>
          <w:p w:rsidR="00626EAB" w:rsidRPr="001D22F1" w:rsidRDefault="00626EAB" w:rsidP="006D39C6">
            <w:pPr>
              <w:jc w:val="center"/>
              <w:rPr>
                <w:rFonts w:ascii="黑体" w:eastAsia="黑体" w:hAnsi="黑体"/>
                <w:sz w:val="24"/>
              </w:rPr>
            </w:pPr>
            <w:r w:rsidRPr="001D22F1">
              <w:rPr>
                <w:rFonts w:ascii="黑体" w:eastAsia="黑体" w:hAnsi="黑体"/>
                <w:sz w:val="24"/>
              </w:rPr>
              <w:t>频道号</w:t>
            </w:r>
          </w:p>
        </w:tc>
        <w:tc>
          <w:tcPr>
            <w:tcW w:w="1335" w:type="dxa"/>
          </w:tcPr>
          <w:p w:rsidR="00626EAB" w:rsidRPr="001D22F1" w:rsidRDefault="00626EAB" w:rsidP="006D39C6">
            <w:pPr>
              <w:jc w:val="center"/>
              <w:rPr>
                <w:rFonts w:ascii="黑体" w:eastAsia="黑体" w:hAnsi="黑体"/>
                <w:sz w:val="24"/>
              </w:rPr>
            </w:pPr>
            <w:r w:rsidRPr="001D22F1">
              <w:rPr>
                <w:rFonts w:ascii="黑体" w:eastAsia="黑体" w:hAnsi="黑体"/>
                <w:sz w:val="24"/>
              </w:rPr>
              <w:t>年级</w:t>
            </w:r>
          </w:p>
        </w:tc>
        <w:tc>
          <w:tcPr>
            <w:tcW w:w="1305" w:type="dxa"/>
          </w:tcPr>
          <w:p w:rsidR="00626EAB" w:rsidRPr="001D22F1" w:rsidRDefault="00626EAB" w:rsidP="006D39C6">
            <w:pPr>
              <w:jc w:val="center"/>
              <w:rPr>
                <w:rFonts w:ascii="黑体" w:eastAsia="黑体" w:hAnsi="黑体"/>
                <w:sz w:val="24"/>
              </w:rPr>
            </w:pPr>
            <w:r w:rsidRPr="001D22F1">
              <w:rPr>
                <w:rFonts w:ascii="黑体" w:eastAsia="黑体" w:hAnsi="黑体"/>
                <w:sz w:val="24"/>
              </w:rPr>
              <w:t>首播时间</w:t>
            </w:r>
          </w:p>
        </w:tc>
        <w:tc>
          <w:tcPr>
            <w:tcW w:w="1156" w:type="dxa"/>
          </w:tcPr>
          <w:p w:rsidR="00626EAB" w:rsidRPr="001D22F1" w:rsidRDefault="0020766F" w:rsidP="006D39C6">
            <w:pPr>
              <w:jc w:val="center"/>
              <w:rPr>
                <w:rFonts w:ascii="黑体" w:eastAsia="黑体" w:hAnsi="黑体"/>
                <w:sz w:val="24"/>
              </w:rPr>
            </w:pPr>
            <w:r w:rsidRPr="001D22F1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1D22F1" w:rsidTr="001D22F1">
        <w:trPr>
          <w:trHeight w:val="318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四川云教电视课堂-小一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一年级</w:t>
            </w:r>
          </w:p>
        </w:tc>
        <w:tc>
          <w:tcPr>
            <w:tcW w:w="1305" w:type="dxa"/>
            <w:vMerge w:val="restart"/>
            <w:vAlign w:val="center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8:00</w:t>
            </w:r>
          </w:p>
        </w:tc>
        <w:tc>
          <w:tcPr>
            <w:tcW w:w="1156" w:type="dxa"/>
            <w:vMerge w:val="restart"/>
            <w:vAlign w:val="center"/>
          </w:tcPr>
          <w:p w:rsidR="001D22F1" w:rsidRPr="001D22F1" w:rsidRDefault="001D22F1" w:rsidP="002076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以实际播出时间为准</w:t>
            </w:r>
          </w:p>
        </w:tc>
      </w:tr>
      <w:tr w:rsidR="001D22F1" w:rsidTr="006D39C6">
        <w:trPr>
          <w:trHeight w:val="318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四川云教电视课堂-小二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二年级</w:t>
            </w:r>
          </w:p>
        </w:tc>
        <w:tc>
          <w:tcPr>
            <w:tcW w:w="1305" w:type="dxa"/>
            <w:vMerge/>
          </w:tcPr>
          <w:p w:rsidR="001D22F1" w:rsidRDefault="001D22F1" w:rsidP="006D39C6">
            <w:pPr>
              <w:jc w:val="center"/>
            </w:pPr>
          </w:p>
        </w:tc>
        <w:tc>
          <w:tcPr>
            <w:tcW w:w="1156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D22F1" w:rsidTr="006D39C6">
        <w:trPr>
          <w:trHeight w:val="318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四川云教电视课堂-小三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三年级</w:t>
            </w:r>
          </w:p>
        </w:tc>
        <w:tc>
          <w:tcPr>
            <w:tcW w:w="1305" w:type="dxa"/>
            <w:vMerge/>
          </w:tcPr>
          <w:p w:rsidR="001D22F1" w:rsidRDefault="001D22F1" w:rsidP="006D39C6">
            <w:pPr>
              <w:jc w:val="center"/>
            </w:pPr>
          </w:p>
        </w:tc>
        <w:tc>
          <w:tcPr>
            <w:tcW w:w="1156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D22F1" w:rsidTr="006D39C6">
        <w:trPr>
          <w:trHeight w:val="318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四川云教电视课堂-小四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四年级</w:t>
            </w:r>
          </w:p>
        </w:tc>
        <w:tc>
          <w:tcPr>
            <w:tcW w:w="1305" w:type="dxa"/>
            <w:vMerge/>
          </w:tcPr>
          <w:p w:rsidR="001D22F1" w:rsidRDefault="001D22F1" w:rsidP="006D39C6">
            <w:pPr>
              <w:jc w:val="center"/>
            </w:pPr>
          </w:p>
        </w:tc>
        <w:tc>
          <w:tcPr>
            <w:tcW w:w="1156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D22F1" w:rsidTr="006D39C6">
        <w:trPr>
          <w:trHeight w:val="318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四川云教电视课堂-小五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五年级</w:t>
            </w:r>
          </w:p>
        </w:tc>
        <w:tc>
          <w:tcPr>
            <w:tcW w:w="1305" w:type="dxa"/>
            <w:vMerge/>
          </w:tcPr>
          <w:p w:rsidR="001D22F1" w:rsidRDefault="001D22F1" w:rsidP="006D39C6">
            <w:pPr>
              <w:jc w:val="center"/>
            </w:pPr>
          </w:p>
        </w:tc>
        <w:tc>
          <w:tcPr>
            <w:tcW w:w="1156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D22F1" w:rsidTr="006D39C6">
        <w:trPr>
          <w:trHeight w:val="318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四川云教电视课堂-小六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六年级</w:t>
            </w:r>
          </w:p>
        </w:tc>
        <w:tc>
          <w:tcPr>
            <w:tcW w:w="1305" w:type="dxa"/>
            <w:vMerge/>
          </w:tcPr>
          <w:p w:rsidR="001D22F1" w:rsidRDefault="001D22F1" w:rsidP="006D39C6">
            <w:pPr>
              <w:jc w:val="center"/>
            </w:pPr>
          </w:p>
        </w:tc>
        <w:tc>
          <w:tcPr>
            <w:tcW w:w="1156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D22F1" w:rsidTr="006D39C6">
        <w:trPr>
          <w:trHeight w:val="318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四川云教电视课堂-初一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七年级</w:t>
            </w:r>
          </w:p>
        </w:tc>
        <w:tc>
          <w:tcPr>
            <w:tcW w:w="1305" w:type="dxa"/>
            <w:vMerge/>
          </w:tcPr>
          <w:p w:rsidR="001D22F1" w:rsidRDefault="001D22F1" w:rsidP="006D39C6">
            <w:pPr>
              <w:jc w:val="center"/>
            </w:pPr>
          </w:p>
        </w:tc>
        <w:tc>
          <w:tcPr>
            <w:tcW w:w="1156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D22F1" w:rsidTr="006D39C6">
        <w:trPr>
          <w:trHeight w:val="318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四川云教电视课堂-初二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八年级</w:t>
            </w:r>
          </w:p>
        </w:tc>
        <w:tc>
          <w:tcPr>
            <w:tcW w:w="1305" w:type="dxa"/>
            <w:vMerge/>
          </w:tcPr>
          <w:p w:rsidR="001D22F1" w:rsidRDefault="001D22F1" w:rsidP="006D39C6">
            <w:pPr>
              <w:jc w:val="center"/>
            </w:pPr>
          </w:p>
        </w:tc>
        <w:tc>
          <w:tcPr>
            <w:tcW w:w="1156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D22F1" w:rsidTr="006D39C6">
        <w:trPr>
          <w:trHeight w:val="318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四川云教电视课堂-初三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九年级</w:t>
            </w:r>
          </w:p>
        </w:tc>
        <w:tc>
          <w:tcPr>
            <w:tcW w:w="1305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56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D22F1" w:rsidTr="006D39C6">
        <w:trPr>
          <w:trHeight w:val="318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四川云教电视课堂-高一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高一年级</w:t>
            </w:r>
          </w:p>
        </w:tc>
        <w:tc>
          <w:tcPr>
            <w:tcW w:w="1305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56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D22F1" w:rsidTr="006D39C6">
        <w:trPr>
          <w:trHeight w:val="318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四川云教电视课堂-高二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高二年级</w:t>
            </w:r>
          </w:p>
        </w:tc>
        <w:tc>
          <w:tcPr>
            <w:tcW w:w="1305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56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D22F1" w:rsidTr="006D39C6">
        <w:trPr>
          <w:trHeight w:val="318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四川云教电视课堂-高三（文）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高三文科</w:t>
            </w:r>
          </w:p>
        </w:tc>
        <w:tc>
          <w:tcPr>
            <w:tcW w:w="1305" w:type="dxa"/>
            <w:vMerge/>
          </w:tcPr>
          <w:p w:rsidR="001D22F1" w:rsidRDefault="001D22F1" w:rsidP="006D39C6">
            <w:pPr>
              <w:jc w:val="center"/>
            </w:pPr>
          </w:p>
        </w:tc>
        <w:tc>
          <w:tcPr>
            <w:tcW w:w="1156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D22F1" w:rsidTr="006D39C6">
        <w:trPr>
          <w:trHeight w:val="307"/>
          <w:jc w:val="center"/>
        </w:trPr>
        <w:tc>
          <w:tcPr>
            <w:tcW w:w="3543" w:type="dxa"/>
          </w:tcPr>
          <w:p w:rsidR="001D22F1" w:rsidRPr="001D22F1" w:rsidRDefault="001D22F1" w:rsidP="001D22F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四川云教电视课堂-高三（理）</w:t>
            </w:r>
          </w:p>
        </w:tc>
        <w:tc>
          <w:tcPr>
            <w:tcW w:w="1335" w:type="dxa"/>
          </w:tcPr>
          <w:p w:rsidR="001D22F1" w:rsidRPr="001D22F1" w:rsidRDefault="001D22F1" w:rsidP="001D22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22F1">
              <w:rPr>
                <w:rFonts w:ascii="仿宋_GB2312" w:eastAsia="仿宋_GB2312" w:hAnsi="宋体" w:hint="eastAsia"/>
                <w:sz w:val="24"/>
              </w:rPr>
              <w:t>高三理科</w:t>
            </w:r>
          </w:p>
        </w:tc>
        <w:tc>
          <w:tcPr>
            <w:tcW w:w="1305" w:type="dxa"/>
            <w:vMerge/>
          </w:tcPr>
          <w:p w:rsidR="001D22F1" w:rsidRDefault="001D22F1" w:rsidP="006D39C6">
            <w:pPr>
              <w:jc w:val="center"/>
            </w:pPr>
          </w:p>
        </w:tc>
        <w:tc>
          <w:tcPr>
            <w:tcW w:w="1156" w:type="dxa"/>
            <w:vMerge/>
          </w:tcPr>
          <w:p w:rsidR="001D22F1" w:rsidRDefault="001D22F1" w:rsidP="006D39C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E73D00" w:rsidRPr="00884713" w:rsidRDefault="001316B5" w:rsidP="0088471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师生</w:t>
      </w:r>
      <w:r w:rsidR="00B663CC">
        <w:rPr>
          <w:rFonts w:ascii="仿宋_GB2312" w:eastAsia="仿宋_GB2312" w:hAnsi="仿宋" w:hint="eastAsia"/>
          <w:sz w:val="32"/>
          <w:szCs w:val="32"/>
        </w:rPr>
        <w:t>可以</w:t>
      </w:r>
      <w:r w:rsidR="007C2983" w:rsidRPr="007C2983">
        <w:rPr>
          <w:rFonts w:ascii="仿宋_GB2312" w:eastAsia="仿宋_GB2312" w:hAnsi="仿宋" w:hint="eastAsia"/>
          <w:sz w:val="32"/>
          <w:szCs w:val="32"/>
        </w:rPr>
        <w:t>在</w:t>
      </w:r>
      <w:r w:rsidR="00B663CC">
        <w:rPr>
          <w:rFonts w:ascii="仿宋_GB2312" w:eastAsia="仿宋_GB2312" w:hAnsi="仿宋" w:hint="eastAsia"/>
          <w:sz w:val="32"/>
          <w:szCs w:val="32"/>
        </w:rPr>
        <w:t>电视直播</w:t>
      </w:r>
      <w:r w:rsidR="007C2983" w:rsidRPr="007C2983">
        <w:rPr>
          <w:rFonts w:ascii="仿宋_GB2312" w:eastAsia="仿宋_GB2312" w:hAnsi="仿宋" w:hint="eastAsia"/>
          <w:sz w:val="32"/>
          <w:szCs w:val="32"/>
        </w:rPr>
        <w:t>频道列表中选择对应的年级频道</w:t>
      </w:r>
      <w:r w:rsidR="00B663CC">
        <w:rPr>
          <w:rFonts w:ascii="仿宋_GB2312" w:eastAsia="仿宋_GB2312" w:hAnsi="仿宋" w:hint="eastAsia"/>
          <w:sz w:val="32"/>
          <w:szCs w:val="32"/>
        </w:rPr>
        <w:t>，</w:t>
      </w:r>
      <w:r w:rsidR="007C2983" w:rsidRPr="007C2983">
        <w:rPr>
          <w:rFonts w:ascii="仿宋_GB2312" w:eastAsia="仿宋_GB2312" w:hAnsi="仿宋" w:hint="eastAsia"/>
          <w:sz w:val="32"/>
          <w:szCs w:val="32"/>
        </w:rPr>
        <w:t>收看</w:t>
      </w:r>
      <w:r w:rsidR="00B663CC">
        <w:rPr>
          <w:rFonts w:ascii="仿宋_GB2312" w:eastAsia="仿宋_GB2312" w:hAnsi="仿宋" w:hint="eastAsia"/>
          <w:sz w:val="32"/>
          <w:szCs w:val="32"/>
        </w:rPr>
        <w:t>课程内容，也可以在</w:t>
      </w:r>
      <w:r w:rsidR="007C2983" w:rsidRPr="00A61AAE">
        <w:rPr>
          <w:rFonts w:ascii="仿宋_GB2312" w:eastAsia="仿宋_GB2312" w:hAnsi="仿宋"/>
          <w:sz w:val="32"/>
          <w:szCs w:val="32"/>
        </w:rPr>
        <w:t>遥控器</w:t>
      </w:r>
      <w:r w:rsidR="00B663CC">
        <w:rPr>
          <w:rFonts w:ascii="仿宋_GB2312" w:eastAsia="仿宋_GB2312" w:hAnsi="仿宋" w:hint="eastAsia"/>
          <w:sz w:val="32"/>
          <w:szCs w:val="32"/>
        </w:rPr>
        <w:t>上</w:t>
      </w:r>
      <w:r w:rsidR="007C2983" w:rsidRPr="00A61AAE">
        <w:rPr>
          <w:rFonts w:ascii="仿宋_GB2312" w:eastAsia="仿宋_GB2312" w:hAnsi="仿宋"/>
          <w:sz w:val="32"/>
          <w:szCs w:val="32"/>
        </w:rPr>
        <w:t>输入频道号码</w:t>
      </w:r>
      <w:r w:rsidR="00B663CC">
        <w:rPr>
          <w:rFonts w:ascii="仿宋_GB2312" w:eastAsia="仿宋_GB2312" w:hAnsi="仿宋" w:hint="eastAsia"/>
          <w:sz w:val="32"/>
          <w:szCs w:val="32"/>
        </w:rPr>
        <w:t>（</w:t>
      </w:r>
      <w:r w:rsidR="00E73D00">
        <w:rPr>
          <w:rFonts w:ascii="仿宋_GB2312" w:eastAsia="仿宋_GB2312" w:hAnsi="仿宋" w:hint="eastAsia"/>
          <w:sz w:val="32"/>
          <w:szCs w:val="32"/>
        </w:rPr>
        <w:t>以各地广电网络公司公布为准</w:t>
      </w:r>
      <w:r w:rsidR="00B663CC">
        <w:rPr>
          <w:rFonts w:ascii="仿宋_GB2312" w:eastAsia="仿宋_GB2312" w:hAnsi="仿宋" w:hint="eastAsia"/>
          <w:sz w:val="32"/>
          <w:szCs w:val="32"/>
        </w:rPr>
        <w:t>）</w:t>
      </w:r>
      <w:r w:rsidR="007C2983" w:rsidRPr="00A61AAE">
        <w:rPr>
          <w:rFonts w:ascii="仿宋_GB2312" w:eastAsia="仿宋_GB2312" w:hAnsi="仿宋"/>
          <w:sz w:val="32"/>
          <w:szCs w:val="32"/>
        </w:rPr>
        <w:t>，快速进入</w:t>
      </w:r>
      <w:r w:rsidR="007C2983" w:rsidRPr="00A61AAE">
        <w:rPr>
          <w:rFonts w:ascii="仿宋_GB2312" w:eastAsia="仿宋_GB2312" w:hAnsi="仿宋" w:hint="eastAsia"/>
          <w:sz w:val="32"/>
          <w:szCs w:val="32"/>
        </w:rPr>
        <w:t>播放</w:t>
      </w:r>
      <w:r w:rsidR="007C2983" w:rsidRPr="00A61AAE">
        <w:rPr>
          <w:rFonts w:ascii="仿宋_GB2312" w:eastAsia="仿宋_GB2312" w:hAnsi="仿宋"/>
          <w:sz w:val="32"/>
          <w:szCs w:val="32"/>
        </w:rPr>
        <w:t>频道</w:t>
      </w:r>
      <w:r w:rsidR="007C2983" w:rsidRPr="00A61AAE">
        <w:rPr>
          <w:rFonts w:ascii="仿宋_GB2312" w:eastAsia="仿宋_GB2312" w:hAnsi="仿宋" w:hint="eastAsia"/>
          <w:sz w:val="32"/>
          <w:szCs w:val="32"/>
        </w:rPr>
        <w:t>。</w:t>
      </w:r>
    </w:p>
    <w:p w:rsidR="00F61A69" w:rsidRPr="00B663CC" w:rsidRDefault="00CC351F" w:rsidP="00B663CC">
      <w:pPr>
        <w:widowControl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B663CC">
        <w:rPr>
          <w:rFonts w:ascii="楷体_GB2312" w:eastAsia="楷体_GB2312" w:hAnsi="仿宋" w:hint="eastAsia"/>
          <w:b/>
          <w:sz w:val="32"/>
          <w:szCs w:val="32"/>
        </w:rPr>
        <w:t>方式二：</w:t>
      </w:r>
      <w:r w:rsidR="00B663CC" w:rsidRPr="00B663CC">
        <w:rPr>
          <w:rFonts w:ascii="楷体_GB2312" w:eastAsia="楷体_GB2312" w:hAnsi="仿宋" w:hint="eastAsia"/>
          <w:b/>
          <w:sz w:val="32"/>
          <w:szCs w:val="32"/>
        </w:rPr>
        <w:t>收看</w:t>
      </w:r>
      <w:r w:rsidRPr="00B663CC">
        <w:rPr>
          <w:rFonts w:ascii="楷体_GB2312" w:eastAsia="楷体_GB2312" w:hAnsi="仿宋" w:hint="eastAsia"/>
          <w:b/>
          <w:sz w:val="32"/>
          <w:szCs w:val="32"/>
        </w:rPr>
        <w:t>交互式网络电视（IPTV）</w:t>
      </w:r>
    </w:p>
    <w:p w:rsidR="00F61A69" w:rsidRDefault="00CC351F">
      <w:pPr>
        <w:pStyle w:val="ad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已安装电信、移动、广电等网络电视（IPTV）的用户可以通过电视机顶盒进入相应点播专区选择对应年级收看、点播课程。操作说明如下。</w:t>
      </w:r>
    </w:p>
    <w:p w:rsidR="00F61A69" w:rsidRPr="001316B5" w:rsidRDefault="00CC351F" w:rsidP="001316B5">
      <w:pPr>
        <w:pStyle w:val="ad"/>
        <w:ind w:firstLine="643"/>
        <w:rPr>
          <w:rFonts w:ascii="仿宋_GB2312" w:eastAsia="仿宋_GB2312" w:hAnsi="仿宋"/>
          <w:b/>
          <w:sz w:val="32"/>
          <w:szCs w:val="32"/>
        </w:rPr>
      </w:pPr>
      <w:r w:rsidRPr="001316B5">
        <w:rPr>
          <w:rFonts w:ascii="仿宋_GB2312" w:eastAsia="仿宋_GB2312" w:hAnsi="仿宋" w:hint="eastAsia"/>
          <w:b/>
          <w:sz w:val="32"/>
          <w:szCs w:val="32"/>
        </w:rPr>
        <w:t>电信网络电视（IPTV）收看图示：</w:t>
      </w:r>
    </w:p>
    <w:p w:rsidR="00122D02" w:rsidRDefault="00CC351F" w:rsidP="00B663CC">
      <w:pPr>
        <w:ind w:left="420" w:hangingChars="200" w:hanging="420"/>
        <w:rPr>
          <w:rFonts w:ascii="仿宋_GB2312" w:eastAsia="仿宋_GB2312" w:hAnsi="仿宋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21977" cy="3219450"/>
            <wp:effectExtent l="0" t="0" r="0" b="0"/>
            <wp:docPr id="1" name="图片 1" descr="F:\停课不停学\线上学习指导手册\电信最新IPTV收看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停课不停学\线上学习指导手册\电信最新IPTV收看示意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223" cy="32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02" w:rsidRDefault="00122D02" w:rsidP="00122D02">
      <w:pPr>
        <w:ind w:left="643" w:hangingChars="200" w:hanging="643"/>
        <w:rPr>
          <w:rFonts w:ascii="仿宋_GB2312" w:eastAsia="仿宋_GB2312" w:hAnsi="仿宋"/>
          <w:b/>
          <w:sz w:val="32"/>
          <w:szCs w:val="32"/>
        </w:rPr>
      </w:pPr>
    </w:p>
    <w:p w:rsidR="00F61A69" w:rsidRDefault="00CC351F" w:rsidP="00122D02">
      <w:pPr>
        <w:ind w:leftChars="304" w:left="639" w:hanging="1"/>
        <w:rPr>
          <w:rFonts w:ascii="仿宋_GB2312" w:eastAsia="仿宋_GB2312" w:hAnsi="仿宋"/>
          <w:sz w:val="32"/>
          <w:szCs w:val="32"/>
        </w:rPr>
      </w:pPr>
      <w:r w:rsidRPr="001316B5">
        <w:rPr>
          <w:rFonts w:ascii="仿宋_GB2312" w:eastAsia="仿宋_GB2312" w:hAnsi="仿宋" w:hint="eastAsia"/>
          <w:b/>
          <w:sz w:val="32"/>
          <w:szCs w:val="32"/>
        </w:rPr>
        <w:t>移动网络电视（IPTV）收看图示：</w:t>
      </w:r>
    </w:p>
    <w:p w:rsidR="00F61A69" w:rsidRDefault="00DE18C6" w:rsidP="00C36391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inline distT="0" distB="0" distL="0" distR="0">
            <wp:extent cx="5638800" cy="3171825"/>
            <wp:effectExtent l="0" t="0" r="0" b="9525"/>
            <wp:docPr id="2" name="图片 2" descr="F:\停课不停学\线上学习指导手册\移动最新IPTV收看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停课不停学\线上学习指导手册\移动最新IPTV收看示意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12" cy="31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02" w:rsidRDefault="00122D02" w:rsidP="001316B5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884713" w:rsidRDefault="00884713" w:rsidP="001316B5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884713" w:rsidRDefault="00884713" w:rsidP="001316B5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</w:p>
    <w:p w:rsidR="00F61A69" w:rsidRPr="001316B5" w:rsidRDefault="00CC351F" w:rsidP="001316B5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316B5">
        <w:rPr>
          <w:rFonts w:ascii="仿宋_GB2312" w:eastAsia="仿宋_GB2312" w:hAnsi="仿宋" w:hint="eastAsia"/>
          <w:b/>
          <w:sz w:val="32"/>
          <w:szCs w:val="32"/>
        </w:rPr>
        <w:lastRenderedPageBreak/>
        <w:t>广电网络电视（IPTV）收看图示：</w:t>
      </w:r>
    </w:p>
    <w:p w:rsidR="00F61A69" w:rsidRDefault="001316B5">
      <w:pPr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/>
          <w:noProof/>
          <w:color w:val="FF0000"/>
          <w:sz w:val="32"/>
          <w:szCs w:val="32"/>
        </w:rPr>
        <w:drawing>
          <wp:inline distT="0" distB="0" distL="0" distR="0">
            <wp:extent cx="5274310" cy="2984459"/>
            <wp:effectExtent l="0" t="0" r="2540" b="6985"/>
            <wp:docPr id="5" name="图片 5" descr="F:\停课不停学\线上学习通知指导手册\广电IPTV使用示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停课不停学\线上学习通知指导手册\广电IPTV使用示意图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91" w:rsidRDefault="00C36391" w:rsidP="00884713">
      <w:pPr>
        <w:rPr>
          <w:rFonts w:ascii="仿宋_GB2312" w:eastAsia="仿宋_GB2312" w:hAnsi="仿宋" w:hint="eastAsia"/>
          <w:color w:val="FF0000"/>
          <w:sz w:val="32"/>
          <w:szCs w:val="32"/>
        </w:rPr>
      </w:pPr>
    </w:p>
    <w:p w:rsidR="00E73D00" w:rsidRPr="00D66F4C" w:rsidRDefault="00E73D00" w:rsidP="00E73D00">
      <w:pPr>
        <w:ind w:firstLine="645"/>
        <w:rPr>
          <w:rFonts w:ascii="仿宋_GB2312" w:eastAsia="仿宋_GB2312" w:hAnsi="仿宋"/>
          <w:b/>
          <w:sz w:val="32"/>
          <w:szCs w:val="32"/>
        </w:rPr>
      </w:pPr>
      <w:r w:rsidRPr="00D66F4C">
        <w:rPr>
          <w:rFonts w:ascii="仿宋_GB2312" w:eastAsia="仿宋_GB2312" w:hAnsi="仿宋" w:hint="eastAsia"/>
          <w:b/>
          <w:sz w:val="32"/>
          <w:szCs w:val="32"/>
        </w:rPr>
        <w:t>联通网络电视（IPTV）收看图示：</w:t>
      </w:r>
    </w:p>
    <w:p w:rsidR="00E73D00" w:rsidRPr="00C36391" w:rsidRDefault="00D66F4C" w:rsidP="00D66F4C">
      <w:pPr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/>
          <w:noProof/>
          <w:color w:val="FF0000"/>
          <w:sz w:val="32"/>
          <w:szCs w:val="32"/>
        </w:rPr>
        <w:drawing>
          <wp:inline distT="0" distB="0" distL="0" distR="0" wp14:anchorId="2F9DD21D" wp14:editId="54926E5D">
            <wp:extent cx="5454524" cy="3076575"/>
            <wp:effectExtent l="0" t="0" r="0" b="0"/>
            <wp:docPr id="6" name="图片 6" descr="C:\Users\ADMINI~1\AppData\Local\Temp\WeChat Files\8f69e52cd8430b1034015cb3d612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f69e52cd8430b1034015cb3d612fd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263" cy="307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13" w:rsidRDefault="00884713" w:rsidP="00B663CC">
      <w:pPr>
        <w:widowControl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</w:p>
    <w:p w:rsidR="00884713" w:rsidRDefault="00884713" w:rsidP="00B663CC">
      <w:pPr>
        <w:widowControl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</w:p>
    <w:p w:rsidR="00884713" w:rsidRDefault="00884713" w:rsidP="00B663CC">
      <w:pPr>
        <w:widowControl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</w:p>
    <w:p w:rsidR="00F61A69" w:rsidRPr="00884713" w:rsidRDefault="00CC351F" w:rsidP="00884713">
      <w:pPr>
        <w:widowControl/>
        <w:spacing w:line="520" w:lineRule="exac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884713">
        <w:rPr>
          <w:rFonts w:ascii="楷体_GB2312" w:eastAsia="楷体_GB2312" w:hAnsi="仿宋" w:hint="eastAsia"/>
          <w:b/>
          <w:sz w:val="28"/>
          <w:szCs w:val="28"/>
        </w:rPr>
        <w:lastRenderedPageBreak/>
        <w:t>方式三：</w:t>
      </w:r>
      <w:r w:rsidR="00B663CC" w:rsidRPr="00884713">
        <w:rPr>
          <w:rFonts w:ascii="楷体_GB2312" w:eastAsia="楷体_GB2312" w:hAnsi="仿宋" w:hint="eastAsia"/>
          <w:b/>
          <w:sz w:val="28"/>
          <w:szCs w:val="28"/>
        </w:rPr>
        <w:t>访问</w:t>
      </w:r>
      <w:r w:rsidRPr="00884713">
        <w:rPr>
          <w:rFonts w:ascii="楷体_GB2312" w:eastAsia="楷体_GB2312" w:hAnsi="仿宋" w:hint="eastAsia"/>
          <w:b/>
          <w:sz w:val="28"/>
          <w:szCs w:val="28"/>
        </w:rPr>
        <w:t>网络平台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4713">
        <w:rPr>
          <w:rFonts w:ascii="仿宋_GB2312" w:eastAsia="仿宋_GB2312" w:hAnsi="仿宋" w:hint="eastAsia"/>
          <w:sz w:val="28"/>
          <w:szCs w:val="28"/>
        </w:rPr>
        <w:t>师生可以通过电脑、平板等终端登录互联网，进入省教育资源公共服务平台“停课不停教、停课不停学”数字教育资源专区选择对应的学段、年级，根据学案建议表，选择相应学科进行在线学习。省教育资源公共服务平台还提供学习视频和</w:t>
      </w:r>
      <w:r w:rsidRPr="00884713">
        <w:rPr>
          <w:rStyle w:val="NormalCharacter"/>
          <w:rFonts w:ascii="仿宋_GB2312" w:eastAsia="仿宋_GB2312" w:hAnsi="微软雅黑" w:hint="eastAsia"/>
          <w:spacing w:val="16"/>
          <w:sz w:val="28"/>
          <w:szCs w:val="28"/>
        </w:rPr>
        <w:t>学习工具下载服务。</w:t>
      </w:r>
      <w:r w:rsidRPr="00884713">
        <w:rPr>
          <w:rFonts w:ascii="仿宋_GB2312" w:eastAsia="仿宋_GB2312" w:hAnsi="仿宋" w:hint="eastAsia"/>
          <w:sz w:val="28"/>
          <w:szCs w:val="28"/>
        </w:rPr>
        <w:t>操作手册详见平台专区。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884713">
        <w:rPr>
          <w:rFonts w:ascii="黑体" w:eastAsia="黑体" w:hAnsi="黑体" w:hint="eastAsia"/>
          <w:sz w:val="28"/>
          <w:szCs w:val="28"/>
        </w:rPr>
        <w:t>三、</w:t>
      </w:r>
      <w:r w:rsidRPr="00884713">
        <w:rPr>
          <w:rFonts w:ascii="黑体" w:eastAsia="黑体" w:hAnsi="黑体" w:hint="eastAsia"/>
          <w:bCs/>
          <w:sz w:val="28"/>
          <w:szCs w:val="28"/>
        </w:rPr>
        <w:t>师生互动方式</w:t>
      </w:r>
    </w:p>
    <w:p w:rsidR="00F61A69" w:rsidRPr="00884713" w:rsidRDefault="00CC351F" w:rsidP="00884713">
      <w:pPr>
        <w:spacing w:line="520" w:lineRule="exact"/>
        <w:ind w:firstLineChars="200" w:firstLine="592"/>
        <w:rPr>
          <w:bCs/>
          <w:kern w:val="0"/>
          <w:sz w:val="28"/>
          <w:szCs w:val="28"/>
        </w:rPr>
      </w:pPr>
      <w:r w:rsidRPr="00884713">
        <w:rPr>
          <w:rFonts w:ascii="仿宋_GB2312" w:eastAsia="仿宋_GB2312" w:hAnsi="Arial" w:cs="Arial" w:hint="eastAsia"/>
          <w:spacing w:val="8"/>
          <w:kern w:val="0"/>
          <w:sz w:val="28"/>
          <w:szCs w:val="28"/>
          <w:shd w:val="clear" w:color="auto" w:fill="FFFFFF"/>
        </w:rPr>
        <w:t>学校是教学互动组织的主体，师生可根据学校选用的学习工具平台开展教学互动。课程开播前，建议老师指导学生提前准备好互动学习工具（可选择省教育资源公共服务平台专区提供的电信会易通、移动云视讯、</w:t>
      </w:r>
      <w:r w:rsidRPr="00884713">
        <w:rPr>
          <w:rFonts w:ascii="仿宋_GB2312" w:eastAsia="仿宋_GB2312" w:hAnsi="Arial" w:cs="Arial"/>
          <w:spacing w:val="8"/>
          <w:kern w:val="0"/>
          <w:sz w:val="28"/>
          <w:szCs w:val="28"/>
          <w:shd w:val="clear" w:color="auto" w:fill="FFFFFF"/>
        </w:rPr>
        <w:t>腾讯课堂</w:t>
      </w:r>
      <w:r w:rsidRPr="00884713">
        <w:rPr>
          <w:rFonts w:ascii="仿宋_GB2312" w:eastAsia="仿宋_GB2312" w:hAnsi="Arial" w:cs="Arial" w:hint="eastAsia"/>
          <w:spacing w:val="8"/>
          <w:kern w:val="0"/>
          <w:sz w:val="28"/>
          <w:szCs w:val="28"/>
          <w:shd w:val="clear" w:color="auto" w:fill="FFFFFF"/>
        </w:rPr>
        <w:t>等10余种学习工具），完成在线班级创建，并进行班级管理、互动研讨、学习辅助等。学习工具下载方式及安装使用说明详见专区“学习工具”专栏。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884713">
        <w:rPr>
          <w:rFonts w:ascii="黑体" w:eastAsia="黑体" w:hAnsi="黑体" w:hint="eastAsia"/>
          <w:bCs/>
          <w:sz w:val="28"/>
          <w:szCs w:val="28"/>
        </w:rPr>
        <w:t>四、师生课前准备</w:t>
      </w:r>
    </w:p>
    <w:p w:rsidR="00F61A69" w:rsidRPr="00884713" w:rsidRDefault="00CC351F" w:rsidP="00884713">
      <w:pPr>
        <w:widowControl/>
        <w:spacing w:line="520" w:lineRule="exact"/>
        <w:ind w:firstLineChars="200" w:firstLine="592"/>
        <w:rPr>
          <w:rFonts w:ascii="仿宋_GB2312" w:eastAsia="仿宋_GB2312" w:hAnsi="Arial" w:cs="Arial"/>
          <w:spacing w:val="8"/>
          <w:kern w:val="0"/>
          <w:sz w:val="28"/>
          <w:szCs w:val="28"/>
          <w:shd w:val="clear" w:color="auto" w:fill="FFFFFF"/>
        </w:rPr>
      </w:pPr>
      <w:r w:rsidRPr="00884713">
        <w:rPr>
          <w:rFonts w:ascii="仿宋_GB2312" w:eastAsia="仿宋_GB2312" w:hAnsi="Arial" w:cs="Arial" w:hint="eastAsia"/>
          <w:spacing w:val="8"/>
          <w:kern w:val="0"/>
          <w:sz w:val="28"/>
          <w:szCs w:val="28"/>
          <w:shd w:val="clear" w:color="auto" w:fill="FFFFFF"/>
        </w:rPr>
        <w:t>1.尽量选择相对安静，采光通风良好的房间观看。</w:t>
      </w:r>
    </w:p>
    <w:p w:rsidR="00F61A69" w:rsidRPr="00884713" w:rsidRDefault="00CC351F" w:rsidP="00884713">
      <w:pPr>
        <w:widowControl/>
        <w:spacing w:line="520" w:lineRule="exact"/>
        <w:ind w:firstLineChars="200" w:firstLine="592"/>
        <w:rPr>
          <w:rFonts w:ascii="仿宋_GB2312" w:eastAsia="仿宋_GB2312" w:hAnsi="Arial" w:cs="Arial"/>
          <w:spacing w:val="8"/>
          <w:kern w:val="0"/>
          <w:sz w:val="28"/>
          <w:szCs w:val="28"/>
          <w:shd w:val="clear" w:color="auto" w:fill="FFFFFF"/>
        </w:rPr>
      </w:pPr>
      <w:r w:rsidRPr="00884713">
        <w:rPr>
          <w:rFonts w:ascii="仿宋_GB2312" w:eastAsia="仿宋_GB2312" w:hAnsi="Arial" w:cs="Arial" w:hint="eastAsia"/>
          <w:spacing w:val="8"/>
          <w:kern w:val="0"/>
          <w:sz w:val="28"/>
          <w:szCs w:val="28"/>
          <w:shd w:val="clear" w:color="auto" w:fill="FFFFFF"/>
        </w:rPr>
        <w:t>2.尽量选择高度合适且舒适的桌椅，并调整好桌椅与电视、电脑等播放设备间的距离，保护学生视力。</w:t>
      </w:r>
    </w:p>
    <w:p w:rsidR="00F61A69" w:rsidRPr="00884713" w:rsidRDefault="00CC351F" w:rsidP="00884713">
      <w:pPr>
        <w:widowControl/>
        <w:spacing w:line="520" w:lineRule="exact"/>
        <w:ind w:firstLineChars="200" w:firstLine="592"/>
        <w:rPr>
          <w:rFonts w:ascii="仿宋_GB2312" w:eastAsia="仿宋_GB2312" w:hAnsi="Arial" w:cs="Arial"/>
          <w:spacing w:val="8"/>
          <w:kern w:val="0"/>
          <w:sz w:val="28"/>
          <w:szCs w:val="28"/>
          <w:shd w:val="clear" w:color="auto" w:fill="FFFFFF"/>
        </w:rPr>
      </w:pPr>
      <w:r w:rsidRPr="00884713">
        <w:rPr>
          <w:rFonts w:ascii="仿宋_GB2312" w:eastAsia="仿宋_GB2312" w:hAnsi="Arial" w:cs="Arial" w:hint="eastAsia"/>
          <w:spacing w:val="8"/>
          <w:kern w:val="0"/>
          <w:sz w:val="28"/>
          <w:szCs w:val="28"/>
          <w:shd w:val="clear" w:color="auto" w:fill="FFFFFF"/>
        </w:rPr>
        <w:t>4.提前10分钟打开电视、电脑等设备，确保设备可用、线路畅通。</w:t>
      </w:r>
    </w:p>
    <w:p w:rsidR="00F61A69" w:rsidRPr="00884713" w:rsidRDefault="00CC351F" w:rsidP="00884713">
      <w:pPr>
        <w:spacing w:line="520" w:lineRule="exact"/>
        <w:ind w:firstLineChars="200" w:firstLine="592"/>
        <w:rPr>
          <w:rFonts w:ascii="仿宋_GB2312" w:eastAsia="仿宋_GB2312" w:hAnsi="Arial" w:cs="Arial"/>
          <w:spacing w:val="8"/>
          <w:kern w:val="0"/>
          <w:sz w:val="28"/>
          <w:szCs w:val="28"/>
          <w:shd w:val="clear" w:color="auto" w:fill="FFFFFF"/>
        </w:rPr>
      </w:pPr>
      <w:r w:rsidRPr="00884713">
        <w:rPr>
          <w:rFonts w:ascii="仿宋_GB2312" w:eastAsia="仿宋_GB2312" w:hAnsi="Arial" w:cs="Arial" w:hint="eastAsia"/>
          <w:spacing w:val="8"/>
          <w:kern w:val="0"/>
          <w:sz w:val="28"/>
          <w:szCs w:val="28"/>
          <w:shd w:val="clear" w:color="auto" w:fill="FFFFFF"/>
        </w:rPr>
        <w:t>5.提前准备好文具、笔记本、水杯等。</w:t>
      </w:r>
    </w:p>
    <w:p w:rsidR="00F61A69" w:rsidRPr="00884713" w:rsidRDefault="00CC351F" w:rsidP="00884713">
      <w:pPr>
        <w:spacing w:line="520" w:lineRule="exact"/>
        <w:ind w:firstLineChars="200" w:firstLine="592"/>
        <w:rPr>
          <w:rFonts w:ascii="仿宋_GB2312" w:eastAsia="仿宋_GB2312" w:hAnsi="Arial" w:cs="Arial"/>
          <w:spacing w:val="8"/>
          <w:kern w:val="0"/>
          <w:sz w:val="28"/>
          <w:szCs w:val="28"/>
          <w:shd w:val="clear" w:color="auto" w:fill="FFFFFF"/>
        </w:rPr>
      </w:pPr>
      <w:r w:rsidRPr="00884713">
        <w:rPr>
          <w:rFonts w:ascii="仿宋_GB2312" w:eastAsia="仿宋_GB2312" w:hAnsi="Arial" w:cs="Arial" w:hint="eastAsia"/>
          <w:spacing w:val="8"/>
          <w:kern w:val="0"/>
          <w:sz w:val="28"/>
          <w:szCs w:val="28"/>
          <w:shd w:val="clear" w:color="auto" w:fill="FFFFFF"/>
        </w:rPr>
        <w:t>6.全省同时线上学习，人数较多，为避免网络拥堵，提倡使用有线电视方式收看，既保护视力，又保证教学效果。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884713">
        <w:rPr>
          <w:rFonts w:ascii="黑体" w:eastAsia="黑体" w:hAnsi="黑体" w:hint="eastAsia"/>
          <w:bCs/>
          <w:sz w:val="28"/>
          <w:szCs w:val="28"/>
        </w:rPr>
        <w:t>五、终端服务说明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>1.使用有线电视遇到问题，请咨询四川广电网络客服热线：96655。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>2.使用IPTV电视遇到问题，请咨询对应运营商电话： 10000（电信）、10086（移动）、96655</w:t>
      </w:r>
      <w:bookmarkStart w:id="0" w:name="_GoBack"/>
      <w:bookmarkEnd w:id="0"/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>（广电）</w:t>
      </w:r>
      <w:r w:rsidR="00A15948" w:rsidRPr="00884713">
        <w:rPr>
          <w:rFonts w:ascii="仿宋_GB2312" w:eastAsia="仿宋_GB2312" w:hint="eastAsia"/>
          <w:bCs/>
          <w:kern w:val="0"/>
          <w:sz w:val="28"/>
          <w:szCs w:val="28"/>
        </w:rPr>
        <w:t>、</w:t>
      </w:r>
      <w:r w:rsidR="00E73D00" w:rsidRPr="00884713">
        <w:rPr>
          <w:rFonts w:ascii="仿宋_GB2312" w:eastAsia="仿宋_GB2312" w:hint="eastAsia"/>
          <w:bCs/>
          <w:kern w:val="0"/>
          <w:sz w:val="28"/>
          <w:szCs w:val="28"/>
        </w:rPr>
        <w:t>10010（联通）</w:t>
      </w: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>。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lastRenderedPageBreak/>
        <w:t>3.使用省教育资源公共服务平台遇到问题，请咨询电话：</w:t>
      </w:r>
      <w:r w:rsidRPr="00884713">
        <w:rPr>
          <w:rFonts w:ascii="仿宋_GB2312" w:eastAsia="仿宋_GB2312"/>
          <w:bCs/>
          <w:kern w:val="0"/>
          <w:sz w:val="28"/>
          <w:szCs w:val="28"/>
        </w:rPr>
        <w:t>96333-3</w:t>
      </w: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>。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>4.使用学校选用的在线互动平台遇到问题，请拨打对应平台的服务热线或咨询在线客服。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>5.更多操作指南可扫描如下二维码，关注教育厅</w:t>
      </w:r>
      <w:r w:rsidR="008969B0" w:rsidRPr="00884713">
        <w:rPr>
          <w:rFonts w:ascii="仿宋_GB2312" w:eastAsia="仿宋_GB2312" w:hint="eastAsia"/>
          <w:bCs/>
          <w:kern w:val="0"/>
          <w:sz w:val="28"/>
          <w:szCs w:val="28"/>
        </w:rPr>
        <w:t>官方微信公众号</w:t>
      </w: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>“四川教育发布”和四川广播电视台科教频道</w:t>
      </w:r>
      <w:r w:rsidR="008969B0" w:rsidRPr="00884713">
        <w:rPr>
          <w:rFonts w:ascii="仿宋_GB2312" w:eastAsia="仿宋_GB2312" w:hAnsi="Arial" w:cs="Arial" w:hint="eastAsia"/>
          <w:sz w:val="28"/>
          <w:szCs w:val="28"/>
        </w:rPr>
        <w:t>（四川教育电视台）官方微信</w:t>
      </w: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>公众号</w:t>
      </w:r>
      <w:r w:rsidR="008969B0" w:rsidRPr="00884713">
        <w:rPr>
          <w:rFonts w:ascii="仿宋_GB2312" w:eastAsia="仿宋_GB2312" w:hint="eastAsia"/>
          <w:bCs/>
          <w:kern w:val="0"/>
          <w:sz w:val="28"/>
          <w:szCs w:val="28"/>
        </w:rPr>
        <w:t>“川教观察”</w:t>
      </w: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>获取。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884713">
        <w:rPr>
          <w:rFonts w:ascii="仿宋_GB2312" w:eastAsia="仿宋_GB2312"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7620</wp:posOffset>
            </wp:positionV>
            <wp:extent cx="1266825" cy="1266825"/>
            <wp:effectExtent l="0" t="0" r="9525" b="9525"/>
            <wp:wrapNone/>
            <wp:docPr id="3" name="图片 3" descr="C:\Users\ADMINI~1\AppData\Local\Temp\WeChat Files\a7591fbdd4e5ac66e5d9f4a7582a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a7591fbdd4e5ac66e5d9f4a7582ae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4713">
        <w:rPr>
          <w:rFonts w:ascii="仿宋_GB2312" w:eastAsia="仿宋_GB2312"/>
          <w:bCs/>
          <w:noProof/>
          <w:kern w:val="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7620</wp:posOffset>
            </wp:positionV>
            <wp:extent cx="1247775" cy="1247775"/>
            <wp:effectExtent l="0" t="0" r="9525" b="9525"/>
            <wp:wrapNone/>
            <wp:docPr id="4" name="图片 4" descr="C:\Users\ADMINI~1\AppData\Local\Temp\WeChat Files\09bd9a0e24c70aa75d28a4bafb9e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09bd9a0e24c70aa75d28a4bafb9edf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1A69" w:rsidRPr="00884713" w:rsidRDefault="00F61A69" w:rsidP="00884713">
      <w:pPr>
        <w:spacing w:line="520" w:lineRule="exact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</w:p>
    <w:p w:rsidR="00F61A69" w:rsidRPr="00884713" w:rsidRDefault="00F61A69" w:rsidP="00884713">
      <w:pPr>
        <w:spacing w:line="520" w:lineRule="exact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</w:p>
    <w:p w:rsidR="00F61A69" w:rsidRPr="00884713" w:rsidRDefault="00CC351F" w:rsidP="00884713">
      <w:pPr>
        <w:spacing w:line="520" w:lineRule="exact"/>
        <w:rPr>
          <w:rFonts w:ascii="仿宋_GB2312" w:eastAsia="仿宋_GB2312"/>
          <w:bCs/>
          <w:kern w:val="0"/>
          <w:sz w:val="28"/>
          <w:szCs w:val="28"/>
        </w:rPr>
      </w:pP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 xml:space="preserve">“四川教育发布”公众号     </w:t>
      </w:r>
      <w:r w:rsidR="00D66F4C" w:rsidRPr="00884713">
        <w:rPr>
          <w:rFonts w:ascii="仿宋_GB2312" w:eastAsia="仿宋_GB2312" w:hint="eastAsia"/>
          <w:bCs/>
          <w:kern w:val="0"/>
          <w:sz w:val="28"/>
          <w:szCs w:val="28"/>
        </w:rPr>
        <w:t xml:space="preserve">     “川教观察”</w:t>
      </w: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>公众号</w:t>
      </w:r>
    </w:p>
    <w:p w:rsidR="00F61A69" w:rsidRPr="00884713" w:rsidRDefault="00CC351F" w:rsidP="00884713">
      <w:pPr>
        <w:spacing w:line="520" w:lineRule="exact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884713">
        <w:rPr>
          <w:rFonts w:ascii="仿宋_GB2312" w:eastAsia="仿宋_GB2312" w:hint="eastAsia"/>
          <w:bCs/>
          <w:kern w:val="0"/>
          <w:sz w:val="28"/>
          <w:szCs w:val="28"/>
        </w:rPr>
        <w:t>6.其他教学问题，请向所在学校或教育行政部门咨询。</w:t>
      </w:r>
    </w:p>
    <w:p w:rsidR="008D3F43" w:rsidRPr="00884713" w:rsidRDefault="008D3F43" w:rsidP="00884713">
      <w:pPr>
        <w:spacing w:line="520" w:lineRule="exact"/>
        <w:ind w:firstLineChars="200" w:firstLine="560"/>
        <w:rPr>
          <w:rFonts w:ascii="仿宋_GB2312" w:eastAsia="仿宋_GB2312" w:hAnsi="Arial" w:cs="Arial"/>
          <w:sz w:val="28"/>
          <w:szCs w:val="28"/>
        </w:rPr>
      </w:pPr>
    </w:p>
    <w:p w:rsidR="00F61A69" w:rsidRPr="00884713" w:rsidRDefault="008969B0" w:rsidP="00884713">
      <w:pPr>
        <w:spacing w:line="520" w:lineRule="exact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 w:rsidRPr="00884713">
        <w:rPr>
          <w:rFonts w:ascii="仿宋_GB2312" w:eastAsia="仿宋_GB2312" w:hAnsi="Arial" w:cs="Arial" w:hint="eastAsia"/>
          <w:sz w:val="28"/>
          <w:szCs w:val="28"/>
        </w:rPr>
        <w:t>本试用手册，如有变化，</w:t>
      </w:r>
      <w:r w:rsidR="008D3F43" w:rsidRPr="00884713">
        <w:rPr>
          <w:rFonts w:ascii="仿宋_GB2312" w:eastAsia="仿宋_GB2312" w:hAnsi="Arial" w:cs="Arial" w:hint="eastAsia"/>
          <w:sz w:val="28"/>
          <w:szCs w:val="28"/>
        </w:rPr>
        <w:t>将</w:t>
      </w:r>
      <w:r w:rsidRPr="00884713">
        <w:rPr>
          <w:rFonts w:ascii="仿宋_GB2312" w:eastAsia="仿宋_GB2312" w:hAnsi="Arial" w:cs="Arial" w:hint="eastAsia"/>
          <w:sz w:val="28"/>
          <w:szCs w:val="28"/>
        </w:rPr>
        <w:t>在“四川教育发布”、“川教观察”公众号和四川</w:t>
      </w:r>
      <w:r w:rsidR="00F21FF9" w:rsidRPr="00884713">
        <w:rPr>
          <w:rFonts w:ascii="仿宋_GB2312" w:eastAsia="仿宋_GB2312" w:hAnsi="Arial" w:cs="Arial" w:hint="eastAsia"/>
          <w:sz w:val="28"/>
          <w:szCs w:val="28"/>
        </w:rPr>
        <w:t>省</w:t>
      </w:r>
      <w:r w:rsidRPr="00884713">
        <w:rPr>
          <w:rFonts w:ascii="仿宋_GB2312" w:eastAsia="仿宋_GB2312" w:hAnsi="Arial" w:cs="Arial" w:hint="eastAsia"/>
          <w:sz w:val="28"/>
          <w:szCs w:val="28"/>
        </w:rPr>
        <w:t>教育资源公共服务平台及时告知，请予关注。</w:t>
      </w:r>
    </w:p>
    <w:sectPr w:rsidR="00F61A69" w:rsidRPr="00884713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7FE8" w:rsidRDefault="00957FE8">
      <w:r>
        <w:separator/>
      </w:r>
    </w:p>
  </w:endnote>
  <w:endnote w:type="continuationSeparator" w:id="0">
    <w:p w:rsidR="00957FE8" w:rsidRDefault="0095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6480359"/>
    </w:sdtPr>
    <w:sdtEndPr/>
    <w:sdtContent>
      <w:p w:rsidR="00F61A69" w:rsidRDefault="00CC351F">
        <w:pPr>
          <w:pStyle w:val="a5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591A" w:rsidRPr="009F591A">
          <w:rPr>
            <w:noProof/>
            <w:lang w:val="zh-CN"/>
          </w:rPr>
          <w:t>4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F61A69" w:rsidRDefault="00F61A69">
    <w:pPr>
      <w:pStyle w:val="a5"/>
    </w:pPr>
  </w:p>
  <w:p w:rsidR="00F61A69" w:rsidRDefault="00F61A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7FE8" w:rsidRDefault="00957FE8">
      <w:r>
        <w:separator/>
      </w:r>
    </w:p>
  </w:footnote>
  <w:footnote w:type="continuationSeparator" w:id="0">
    <w:p w:rsidR="00957FE8" w:rsidRDefault="0095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9983"/>
    <w:multiLevelType w:val="singleLevel"/>
    <w:tmpl w:val="06BC9983"/>
    <w:lvl w:ilvl="0">
      <w:start w:val="1"/>
      <w:numFmt w:val="chineseCounting"/>
      <w:pStyle w:val="1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4F95B57"/>
    <w:multiLevelType w:val="multilevel"/>
    <w:tmpl w:val="14F95B5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DA0"/>
    <w:rsid w:val="000235FE"/>
    <w:rsid w:val="00035277"/>
    <w:rsid w:val="000369A4"/>
    <w:rsid w:val="000509EF"/>
    <w:rsid w:val="00067F63"/>
    <w:rsid w:val="00091CFA"/>
    <w:rsid w:val="000B4CFC"/>
    <w:rsid w:val="000E75A3"/>
    <w:rsid w:val="000F6207"/>
    <w:rsid w:val="001022AD"/>
    <w:rsid w:val="001067AC"/>
    <w:rsid w:val="0011650A"/>
    <w:rsid w:val="00122D02"/>
    <w:rsid w:val="00125244"/>
    <w:rsid w:val="001316B5"/>
    <w:rsid w:val="00145AEC"/>
    <w:rsid w:val="0014701D"/>
    <w:rsid w:val="0019404C"/>
    <w:rsid w:val="001B7C74"/>
    <w:rsid w:val="001C74EF"/>
    <w:rsid w:val="001D22F1"/>
    <w:rsid w:val="001D6101"/>
    <w:rsid w:val="001E2581"/>
    <w:rsid w:val="001F1995"/>
    <w:rsid w:val="001F48E4"/>
    <w:rsid w:val="001F61C1"/>
    <w:rsid w:val="001F6AA9"/>
    <w:rsid w:val="0020766F"/>
    <w:rsid w:val="0022408D"/>
    <w:rsid w:val="00245A29"/>
    <w:rsid w:val="00251E4D"/>
    <w:rsid w:val="00252387"/>
    <w:rsid w:val="00264CA0"/>
    <w:rsid w:val="0028365D"/>
    <w:rsid w:val="00291C99"/>
    <w:rsid w:val="002A31B3"/>
    <w:rsid w:val="002D3168"/>
    <w:rsid w:val="002D3F70"/>
    <w:rsid w:val="002D6B41"/>
    <w:rsid w:val="002F31D0"/>
    <w:rsid w:val="002F5E0C"/>
    <w:rsid w:val="00332EC1"/>
    <w:rsid w:val="00340A34"/>
    <w:rsid w:val="003467D6"/>
    <w:rsid w:val="0035442E"/>
    <w:rsid w:val="0035668A"/>
    <w:rsid w:val="00364CA2"/>
    <w:rsid w:val="00376270"/>
    <w:rsid w:val="00391072"/>
    <w:rsid w:val="003A7719"/>
    <w:rsid w:val="003B18B6"/>
    <w:rsid w:val="003C4A70"/>
    <w:rsid w:val="003C5826"/>
    <w:rsid w:val="003C7033"/>
    <w:rsid w:val="003D2520"/>
    <w:rsid w:val="003E56B3"/>
    <w:rsid w:val="003F0461"/>
    <w:rsid w:val="0040502F"/>
    <w:rsid w:val="00407DE2"/>
    <w:rsid w:val="00445CF3"/>
    <w:rsid w:val="00480734"/>
    <w:rsid w:val="00494CEB"/>
    <w:rsid w:val="004A5FA4"/>
    <w:rsid w:val="004B5E2B"/>
    <w:rsid w:val="004C3F25"/>
    <w:rsid w:val="004E1547"/>
    <w:rsid w:val="004F6B7C"/>
    <w:rsid w:val="0051563B"/>
    <w:rsid w:val="00521502"/>
    <w:rsid w:val="00564D71"/>
    <w:rsid w:val="00572952"/>
    <w:rsid w:val="00584E96"/>
    <w:rsid w:val="005938F6"/>
    <w:rsid w:val="00595A9E"/>
    <w:rsid w:val="005A6071"/>
    <w:rsid w:val="005B37BF"/>
    <w:rsid w:val="005F6DFC"/>
    <w:rsid w:val="00616AFC"/>
    <w:rsid w:val="00626EAB"/>
    <w:rsid w:val="006501EA"/>
    <w:rsid w:val="006639E4"/>
    <w:rsid w:val="00677F8F"/>
    <w:rsid w:val="00681148"/>
    <w:rsid w:val="00685125"/>
    <w:rsid w:val="006C2D7D"/>
    <w:rsid w:val="006E1B12"/>
    <w:rsid w:val="006E4A6C"/>
    <w:rsid w:val="006E54B5"/>
    <w:rsid w:val="006F12AC"/>
    <w:rsid w:val="006F531E"/>
    <w:rsid w:val="006F6448"/>
    <w:rsid w:val="00710AAB"/>
    <w:rsid w:val="00734CA3"/>
    <w:rsid w:val="00753F5B"/>
    <w:rsid w:val="00757BC1"/>
    <w:rsid w:val="00761BA0"/>
    <w:rsid w:val="00770BC7"/>
    <w:rsid w:val="00771F7C"/>
    <w:rsid w:val="007966E3"/>
    <w:rsid w:val="007A3AF9"/>
    <w:rsid w:val="007A6B16"/>
    <w:rsid w:val="007C2983"/>
    <w:rsid w:val="007C2FF1"/>
    <w:rsid w:val="007C54F4"/>
    <w:rsid w:val="007D0D0D"/>
    <w:rsid w:val="00801EA6"/>
    <w:rsid w:val="008077EE"/>
    <w:rsid w:val="0082495B"/>
    <w:rsid w:val="008517B0"/>
    <w:rsid w:val="00871383"/>
    <w:rsid w:val="00875157"/>
    <w:rsid w:val="00881290"/>
    <w:rsid w:val="00881C8A"/>
    <w:rsid w:val="00884713"/>
    <w:rsid w:val="008922ED"/>
    <w:rsid w:val="008969B0"/>
    <w:rsid w:val="008A03E3"/>
    <w:rsid w:val="008A133B"/>
    <w:rsid w:val="008B40B1"/>
    <w:rsid w:val="008D1350"/>
    <w:rsid w:val="008D3F43"/>
    <w:rsid w:val="00905353"/>
    <w:rsid w:val="00921A34"/>
    <w:rsid w:val="009312B0"/>
    <w:rsid w:val="0094535B"/>
    <w:rsid w:val="00957FE8"/>
    <w:rsid w:val="0096061D"/>
    <w:rsid w:val="0099158E"/>
    <w:rsid w:val="009A53B8"/>
    <w:rsid w:val="009D2EE3"/>
    <w:rsid w:val="009D6883"/>
    <w:rsid w:val="009F591A"/>
    <w:rsid w:val="00A0268A"/>
    <w:rsid w:val="00A076A6"/>
    <w:rsid w:val="00A15948"/>
    <w:rsid w:val="00A321F8"/>
    <w:rsid w:val="00A46419"/>
    <w:rsid w:val="00A53E23"/>
    <w:rsid w:val="00A54EDD"/>
    <w:rsid w:val="00A61AAE"/>
    <w:rsid w:val="00A713BF"/>
    <w:rsid w:val="00AA3DF7"/>
    <w:rsid w:val="00AB6158"/>
    <w:rsid w:val="00AC27DA"/>
    <w:rsid w:val="00AE2271"/>
    <w:rsid w:val="00AE47B0"/>
    <w:rsid w:val="00AE509B"/>
    <w:rsid w:val="00B33C30"/>
    <w:rsid w:val="00B6506A"/>
    <w:rsid w:val="00B663CC"/>
    <w:rsid w:val="00B712EE"/>
    <w:rsid w:val="00B74E3E"/>
    <w:rsid w:val="00B812D8"/>
    <w:rsid w:val="00B96EA6"/>
    <w:rsid w:val="00BA4948"/>
    <w:rsid w:val="00BB17B6"/>
    <w:rsid w:val="00BB227F"/>
    <w:rsid w:val="00BB2EE2"/>
    <w:rsid w:val="00BB6A18"/>
    <w:rsid w:val="00BD19B9"/>
    <w:rsid w:val="00BF0F95"/>
    <w:rsid w:val="00C20DF1"/>
    <w:rsid w:val="00C356BD"/>
    <w:rsid w:val="00C35F31"/>
    <w:rsid w:val="00C36391"/>
    <w:rsid w:val="00CC351F"/>
    <w:rsid w:val="00CF3F61"/>
    <w:rsid w:val="00CF71AF"/>
    <w:rsid w:val="00D03BD5"/>
    <w:rsid w:val="00D11078"/>
    <w:rsid w:val="00D1579B"/>
    <w:rsid w:val="00D1733E"/>
    <w:rsid w:val="00D2398C"/>
    <w:rsid w:val="00D27557"/>
    <w:rsid w:val="00D27B42"/>
    <w:rsid w:val="00D34A28"/>
    <w:rsid w:val="00D37D10"/>
    <w:rsid w:val="00D40F9E"/>
    <w:rsid w:val="00D548B9"/>
    <w:rsid w:val="00D55208"/>
    <w:rsid w:val="00D622CF"/>
    <w:rsid w:val="00D66F4C"/>
    <w:rsid w:val="00D71DA0"/>
    <w:rsid w:val="00D92C35"/>
    <w:rsid w:val="00DB0E15"/>
    <w:rsid w:val="00DC37B3"/>
    <w:rsid w:val="00DC7846"/>
    <w:rsid w:val="00DE18C6"/>
    <w:rsid w:val="00DE5986"/>
    <w:rsid w:val="00DE6DB3"/>
    <w:rsid w:val="00DF10CD"/>
    <w:rsid w:val="00DF2BA4"/>
    <w:rsid w:val="00E309DC"/>
    <w:rsid w:val="00E54C78"/>
    <w:rsid w:val="00E55547"/>
    <w:rsid w:val="00E73D00"/>
    <w:rsid w:val="00E7604B"/>
    <w:rsid w:val="00E93780"/>
    <w:rsid w:val="00EA1B8C"/>
    <w:rsid w:val="00EE0B52"/>
    <w:rsid w:val="00F0766D"/>
    <w:rsid w:val="00F11997"/>
    <w:rsid w:val="00F21FF9"/>
    <w:rsid w:val="00F275C7"/>
    <w:rsid w:val="00F41268"/>
    <w:rsid w:val="00F4505C"/>
    <w:rsid w:val="00F57EEF"/>
    <w:rsid w:val="00F61A69"/>
    <w:rsid w:val="00F7585C"/>
    <w:rsid w:val="00F96304"/>
    <w:rsid w:val="00F972C6"/>
    <w:rsid w:val="00FC39D5"/>
    <w:rsid w:val="00FE598B"/>
    <w:rsid w:val="00FF1BC5"/>
    <w:rsid w:val="29B94CC5"/>
    <w:rsid w:val="393E27BA"/>
    <w:rsid w:val="52CF4612"/>
    <w:rsid w:val="58E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FB42DD"/>
  <w15:docId w15:val="{FEEF0A28-B86B-4B1C-B695-A8F7330F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NormalCharacter">
    <w:name w:val="NormalCharacter"/>
    <w:semiHidden/>
    <w:qFormat/>
  </w:style>
  <w:style w:type="character" w:customStyle="1" w:styleId="20">
    <w:name w:val="标题 2 字符"/>
    <w:basedOn w:val="a0"/>
    <w:link w:val="2"/>
    <w:uiPriority w:val="9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e">
    <w:name w:val="图片"/>
    <w:basedOn w:val="a"/>
    <w:qFormat/>
    <w:pPr>
      <w:jc w:val="center"/>
    </w:pPr>
    <w:rPr>
      <w:rFonts w:asciiTheme="minorEastAsia" w:hAnsiTheme="minorEastAsia" w:cstheme="majorEastAsia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0">
    <w:name w:val="标题 3 字符"/>
    <w:basedOn w:val="a0"/>
    <w:link w:val="3"/>
    <w:uiPriority w:val="99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">
    <w:name w:val="首页项目标题 Char"/>
    <w:link w:val="af"/>
    <w:qFormat/>
    <w:rPr>
      <w:rFonts w:ascii="Arial" w:eastAsia="微软雅黑" w:hAnsi="Arial" w:cs="Times New Roman"/>
      <w:b/>
      <w:w w:val="80"/>
      <w:sz w:val="64"/>
      <w:szCs w:val="24"/>
    </w:rPr>
  </w:style>
  <w:style w:type="paragraph" w:customStyle="1" w:styleId="af">
    <w:name w:val="首页项目标题"/>
    <w:basedOn w:val="a"/>
    <w:link w:val="Char"/>
    <w:qFormat/>
    <w:pPr>
      <w:ind w:firstLineChars="200" w:firstLine="420"/>
      <w:jc w:val="left"/>
    </w:pPr>
    <w:rPr>
      <w:rFonts w:ascii="Arial" w:eastAsia="微软雅黑" w:hAnsi="Arial" w:cs="Times New Roman"/>
      <w:b/>
      <w:w w:val="80"/>
      <w:sz w:val="64"/>
      <w:szCs w:val="24"/>
    </w:rPr>
  </w:style>
  <w:style w:type="paragraph" w:customStyle="1" w:styleId="Style23">
    <w:name w:val="_Style 23"/>
    <w:basedOn w:val="a"/>
    <w:next w:val="ad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CD3B5-DCFF-4846-A65F-CA4878E3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haifeng</dc:creator>
  <cp:lastModifiedBy>xbany</cp:lastModifiedBy>
  <cp:revision>8</cp:revision>
  <cp:lastPrinted>2020-02-28T02:00:00Z</cp:lastPrinted>
  <dcterms:created xsi:type="dcterms:W3CDTF">2020-03-02T09:36:00Z</dcterms:created>
  <dcterms:modified xsi:type="dcterms:W3CDTF">2020-03-05T08:55:00Z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